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C85B0" w14:textId="46EC310F" w:rsidR="00917787" w:rsidRPr="004B21D6" w:rsidRDefault="00F91103" w:rsidP="002A3135">
      <w:pPr>
        <w:pStyle w:val="Overskrift1"/>
        <w:spacing w:before="0" w:after="120"/>
        <w:rPr>
          <w:rFonts w:asciiTheme="minorHAnsi" w:hAnsiTheme="minorHAnsi" w:cstheme="minorHAnsi"/>
          <w:b/>
          <w:bCs/>
        </w:rPr>
      </w:pPr>
      <w:r w:rsidRPr="004B21D6">
        <w:rPr>
          <w:rFonts w:asciiTheme="minorHAnsi" w:hAnsiTheme="minorHAnsi" w:cstheme="minorHAnsi"/>
          <w:b/>
          <w:bCs/>
        </w:rPr>
        <w:t>Genu</w:t>
      </w:r>
      <w:r w:rsidR="00FA105A" w:rsidRPr="004B21D6">
        <w:rPr>
          <w:rFonts w:asciiTheme="minorHAnsi" w:hAnsiTheme="minorHAnsi" w:cstheme="minorHAnsi"/>
          <w:b/>
          <w:bCs/>
        </w:rPr>
        <w:t>dbud med forhandling</w:t>
      </w:r>
    </w:p>
    <w:p w14:paraId="1D2C8C07" w14:textId="77777777" w:rsidR="005E560B" w:rsidRPr="004B21D6" w:rsidRDefault="005E560B" w:rsidP="009A0265">
      <w:pPr>
        <w:spacing w:after="0" w:line="240" w:lineRule="auto"/>
        <w:rPr>
          <w:sz w:val="24"/>
          <w:szCs w:val="24"/>
        </w:rPr>
      </w:pPr>
    </w:p>
    <w:p w14:paraId="1598C4D9" w14:textId="3451474A" w:rsidR="000F0BCD" w:rsidRPr="004B21D6" w:rsidRDefault="00153EAA" w:rsidP="002C1091">
      <w:pPr>
        <w:spacing w:after="0" w:line="240" w:lineRule="auto"/>
        <w:rPr>
          <w:rFonts w:cstheme="minorHAnsi"/>
          <w:b/>
          <w:bCs/>
          <w:color w:val="000000" w:themeColor="text1"/>
          <w:sz w:val="24"/>
          <w:szCs w:val="24"/>
        </w:rPr>
      </w:pPr>
      <w:r w:rsidRPr="004B21D6">
        <w:rPr>
          <w:rFonts w:cstheme="minorHAnsi"/>
          <w:b/>
          <w:bCs/>
          <w:color w:val="000000" w:themeColor="text1"/>
          <w:sz w:val="24"/>
          <w:szCs w:val="24"/>
        </w:rPr>
        <w:t>740502</w:t>
      </w:r>
      <w:r w:rsidR="00630EFB" w:rsidRPr="004B21D6">
        <w:rPr>
          <w:rFonts w:cstheme="minorHAnsi"/>
          <w:b/>
          <w:bCs/>
          <w:color w:val="000000" w:themeColor="text1"/>
          <w:sz w:val="24"/>
          <w:szCs w:val="24"/>
        </w:rPr>
        <w:t>-2026</w:t>
      </w:r>
    </w:p>
    <w:p w14:paraId="31E84459" w14:textId="77777777" w:rsidR="00630EFB" w:rsidRPr="004B21D6" w:rsidRDefault="00630EFB" w:rsidP="002C1091">
      <w:pPr>
        <w:spacing w:after="0" w:line="240" w:lineRule="auto"/>
        <w:rPr>
          <w:color w:val="000000" w:themeColor="text1"/>
          <w:sz w:val="24"/>
          <w:szCs w:val="24"/>
        </w:rPr>
      </w:pPr>
    </w:p>
    <w:p w14:paraId="151F1F3F" w14:textId="63BE3948" w:rsidR="002C1091" w:rsidRPr="004B21D6" w:rsidRDefault="00F91103" w:rsidP="002C1091">
      <w:pPr>
        <w:spacing w:after="0" w:line="240" w:lineRule="auto"/>
        <w:rPr>
          <w:rFonts w:eastAsiaTheme="majorEastAsia" w:cstheme="minorHAnsi"/>
          <w:b/>
          <w:bCs/>
          <w:color w:val="365F91" w:themeColor="accent1" w:themeShade="BF"/>
          <w:kern w:val="2"/>
          <w:sz w:val="28"/>
          <w:szCs w:val="28"/>
          <w14:ligatures w14:val="standardContextual"/>
        </w:rPr>
      </w:pPr>
      <w:r w:rsidRPr="004B21D6">
        <w:rPr>
          <w:rFonts w:eastAsiaTheme="majorEastAsia" w:cstheme="minorHAnsi"/>
          <w:b/>
          <w:bCs/>
          <w:color w:val="365F91" w:themeColor="accent1" w:themeShade="BF"/>
          <w:sz w:val="32"/>
          <w:szCs w:val="32"/>
        </w:rPr>
        <w:t>Genu</w:t>
      </w:r>
      <w:r w:rsidR="002C1091" w:rsidRPr="004B21D6">
        <w:rPr>
          <w:rFonts w:eastAsiaTheme="majorEastAsia" w:cstheme="minorHAnsi"/>
          <w:b/>
          <w:bCs/>
          <w:color w:val="365F91" w:themeColor="accent1" w:themeShade="BF"/>
          <w:sz w:val="32"/>
          <w:szCs w:val="32"/>
        </w:rPr>
        <w:t xml:space="preserve">dbud </w:t>
      </w:r>
      <w:r w:rsidR="002C1091" w:rsidRPr="004B21D6">
        <w:rPr>
          <w:rFonts w:eastAsiaTheme="majorEastAsia" w:cstheme="minorHAnsi"/>
          <w:b/>
          <w:bCs/>
          <w:color w:val="365F91" w:themeColor="accent1" w:themeShade="BF"/>
          <w:kern w:val="2"/>
          <w:sz w:val="28"/>
          <w:szCs w:val="28"/>
          <w14:ligatures w14:val="standardContextual"/>
        </w:rPr>
        <w:t>af levering, drift og vedligeholdelse af målerpark</w:t>
      </w:r>
    </w:p>
    <w:p w14:paraId="0283AF49" w14:textId="77777777" w:rsidR="008E5217" w:rsidRPr="004B21D6" w:rsidRDefault="008E5217" w:rsidP="008E5217">
      <w:pPr>
        <w:spacing w:after="0" w:line="240" w:lineRule="auto"/>
        <w:rPr>
          <w:rFonts w:cstheme="minorHAnsi"/>
          <w:sz w:val="24"/>
          <w:szCs w:val="24"/>
        </w:rPr>
      </w:pPr>
      <w:r w:rsidRPr="004B21D6">
        <w:rPr>
          <w:rFonts w:cstheme="minorHAnsi"/>
          <w:sz w:val="24"/>
          <w:szCs w:val="24"/>
        </w:rPr>
        <w:t>Udbud med forhandling, jf. § 15 i Inatsisartutlov om udbud i forbindelse med indkøb af varer og tjenesteydelser i offentlige myndigheder og institutioner.</w:t>
      </w:r>
    </w:p>
    <w:p w14:paraId="7E8F517C" w14:textId="77777777" w:rsidR="004E0A71" w:rsidRPr="004B21D6" w:rsidRDefault="004E0A71" w:rsidP="00E553B3">
      <w:pPr>
        <w:spacing w:after="0" w:line="240" w:lineRule="auto"/>
        <w:rPr>
          <w:rFonts w:cstheme="minorHAnsi"/>
          <w:sz w:val="24"/>
          <w:szCs w:val="24"/>
        </w:rPr>
      </w:pPr>
    </w:p>
    <w:p w14:paraId="01884D7F" w14:textId="244AD129" w:rsidR="00371684" w:rsidRPr="004B21D6" w:rsidRDefault="00371684" w:rsidP="00371684">
      <w:pPr>
        <w:spacing w:after="0" w:line="240" w:lineRule="auto"/>
        <w:rPr>
          <w:rFonts w:cstheme="minorHAnsi"/>
          <w:sz w:val="24"/>
          <w:szCs w:val="24"/>
        </w:rPr>
      </w:pPr>
      <w:r w:rsidRPr="004B21D6">
        <w:rPr>
          <w:rFonts w:cstheme="minorHAnsi"/>
          <w:sz w:val="24"/>
          <w:szCs w:val="24"/>
        </w:rPr>
        <w:t>Nukissiorfiit står overfor en omfattende udskiftning af den eksisterende målerpark, der er en kombination af forskellige typer el-, vand- og varmeafregningsmålere.</w:t>
      </w:r>
      <w:r w:rsidR="005C50F5" w:rsidRPr="004B21D6">
        <w:rPr>
          <w:rFonts w:cstheme="minorHAnsi"/>
          <w:sz w:val="24"/>
          <w:szCs w:val="24"/>
        </w:rPr>
        <w:t xml:space="preserve"> </w:t>
      </w:r>
      <w:r w:rsidRPr="004B21D6">
        <w:rPr>
          <w:rFonts w:cstheme="minorHAnsi"/>
          <w:sz w:val="24"/>
          <w:szCs w:val="24"/>
        </w:rPr>
        <w:t>Udskiftningen af målerparken omfatter leverance af i alt ca. 61.000 målere. Leverandøren skal levere, installere og idriftsætte i alt ca. 52.000 målere i de 14 største byer i Grønland, som angivet i udbudsmaterialet.</w:t>
      </w:r>
    </w:p>
    <w:p w14:paraId="7791213E" w14:textId="77777777" w:rsidR="00371684" w:rsidRPr="004B21D6" w:rsidRDefault="00371684" w:rsidP="00E553B3">
      <w:pPr>
        <w:spacing w:after="0" w:line="240" w:lineRule="auto"/>
        <w:rPr>
          <w:rFonts w:cstheme="minorHAnsi"/>
          <w:sz w:val="24"/>
          <w:szCs w:val="24"/>
        </w:rPr>
      </w:pPr>
    </w:p>
    <w:p w14:paraId="0213D2CD" w14:textId="6465E682" w:rsidR="00C706CA" w:rsidRPr="004B21D6" w:rsidRDefault="00BF1132" w:rsidP="009B08A6">
      <w:pPr>
        <w:spacing w:after="0" w:line="240" w:lineRule="auto"/>
        <w:rPr>
          <w:rFonts w:cstheme="minorHAnsi"/>
          <w:b/>
          <w:bCs/>
          <w:sz w:val="24"/>
          <w:szCs w:val="24"/>
        </w:rPr>
      </w:pPr>
      <w:r w:rsidRPr="004B21D6">
        <w:rPr>
          <w:rFonts w:cstheme="minorHAnsi"/>
          <w:b/>
          <w:bCs/>
          <w:sz w:val="24"/>
          <w:szCs w:val="24"/>
        </w:rPr>
        <w:t>Udbuds</w:t>
      </w:r>
      <w:r w:rsidR="00F42FDF" w:rsidRPr="004B21D6">
        <w:rPr>
          <w:rFonts w:cstheme="minorHAnsi"/>
          <w:b/>
          <w:bCs/>
          <w:sz w:val="24"/>
          <w:szCs w:val="24"/>
        </w:rPr>
        <w:t>bekendtgørelsen</w:t>
      </w:r>
      <w:r w:rsidRPr="004B21D6">
        <w:rPr>
          <w:rFonts w:cstheme="minorHAnsi"/>
          <w:b/>
          <w:bCs/>
          <w:sz w:val="24"/>
          <w:szCs w:val="24"/>
        </w:rPr>
        <w:t xml:space="preserve"> </w:t>
      </w:r>
      <w:r w:rsidR="00C747AD" w:rsidRPr="004B21D6">
        <w:rPr>
          <w:rFonts w:cstheme="minorHAnsi"/>
          <w:b/>
          <w:bCs/>
          <w:sz w:val="24"/>
          <w:szCs w:val="24"/>
        </w:rPr>
        <w:t xml:space="preserve">hentes fra </w:t>
      </w:r>
      <w:r w:rsidR="009B08A6" w:rsidRPr="004B21D6">
        <w:rPr>
          <w:rFonts w:cstheme="minorHAnsi"/>
          <w:b/>
          <w:bCs/>
          <w:sz w:val="24"/>
          <w:szCs w:val="24"/>
        </w:rPr>
        <w:t>Ted</w:t>
      </w:r>
      <w:r w:rsidR="00C706CA" w:rsidRPr="004B21D6">
        <w:rPr>
          <w:rFonts w:cstheme="minorHAnsi"/>
          <w:b/>
          <w:bCs/>
          <w:sz w:val="24"/>
          <w:szCs w:val="24"/>
        </w:rPr>
        <w:t xml:space="preserve"> og indeholder et link </w:t>
      </w:r>
      <w:r w:rsidR="00584C7D" w:rsidRPr="004B21D6">
        <w:rPr>
          <w:rFonts w:cstheme="minorHAnsi"/>
          <w:b/>
          <w:bCs/>
          <w:sz w:val="24"/>
          <w:szCs w:val="24"/>
        </w:rPr>
        <w:t>med</w:t>
      </w:r>
      <w:r w:rsidR="00C706CA" w:rsidRPr="004B21D6">
        <w:rPr>
          <w:rFonts w:cstheme="minorHAnsi"/>
          <w:b/>
          <w:bCs/>
          <w:sz w:val="24"/>
          <w:szCs w:val="24"/>
        </w:rPr>
        <w:t xml:space="preserve"> adgang til udbudsmaterialet efter online registrering</w:t>
      </w:r>
      <w:r w:rsidR="00C528D8" w:rsidRPr="004B21D6">
        <w:rPr>
          <w:rFonts w:cstheme="minorHAnsi"/>
          <w:b/>
          <w:bCs/>
          <w:sz w:val="24"/>
          <w:szCs w:val="24"/>
        </w:rPr>
        <w:t xml:space="preserve">: </w:t>
      </w:r>
    </w:p>
    <w:p w14:paraId="7E9E70B3" w14:textId="3D9F1AA0" w:rsidR="00505224" w:rsidRPr="004B21D6" w:rsidRDefault="006A7ACD" w:rsidP="003D4DE1">
      <w:pPr>
        <w:spacing w:after="0" w:line="240" w:lineRule="auto"/>
        <w:rPr>
          <w:sz w:val="24"/>
          <w:szCs w:val="24"/>
        </w:rPr>
      </w:pPr>
      <w:hyperlink r:id="rId8" w:history="1">
        <w:r w:rsidRPr="004B21D6">
          <w:rPr>
            <w:rStyle w:val="Hyperlink"/>
            <w:sz w:val="24"/>
            <w:szCs w:val="24"/>
          </w:rPr>
          <w:t>https://ted.europa.eu/da/notice/-/detail/740502-2026</w:t>
        </w:r>
      </w:hyperlink>
    </w:p>
    <w:p w14:paraId="640B7EF1" w14:textId="77777777" w:rsidR="006A7ACD" w:rsidRPr="004B21D6" w:rsidRDefault="006A7ACD" w:rsidP="003D4DE1">
      <w:pPr>
        <w:spacing w:after="0" w:line="240" w:lineRule="auto"/>
        <w:rPr>
          <w:sz w:val="24"/>
          <w:szCs w:val="24"/>
        </w:rPr>
      </w:pPr>
    </w:p>
    <w:p w14:paraId="37728CBA" w14:textId="7A30E58C" w:rsidR="00CA4976" w:rsidRPr="004B21D6" w:rsidRDefault="00CA4976" w:rsidP="00CA4976">
      <w:pPr>
        <w:spacing w:after="0" w:line="240" w:lineRule="auto"/>
        <w:rPr>
          <w:b/>
          <w:bCs/>
          <w:sz w:val="24"/>
          <w:szCs w:val="24"/>
        </w:rPr>
      </w:pPr>
      <w:r w:rsidRPr="00DA14C5">
        <w:rPr>
          <w:rFonts w:eastAsiaTheme="majorEastAsia" w:cstheme="minorHAnsi"/>
          <w:b/>
          <w:bCs/>
          <w:color w:val="365F91" w:themeColor="accent1" w:themeShade="BF"/>
          <w:kern w:val="2"/>
          <w:sz w:val="28"/>
          <w:szCs w:val="28"/>
          <w14:ligatures w14:val="standardContextual"/>
        </w:rPr>
        <w:t>Ansøgningen</w:t>
      </w:r>
      <w:r w:rsidR="00F16B09" w:rsidRPr="00DA14C5">
        <w:rPr>
          <w:rFonts w:eastAsiaTheme="majorEastAsia" w:cstheme="minorHAnsi"/>
          <w:b/>
          <w:bCs/>
          <w:color w:val="365F91" w:themeColor="accent1" w:themeShade="BF"/>
          <w:kern w:val="2"/>
          <w:sz w:val="28"/>
          <w:szCs w:val="28"/>
          <w14:ligatures w14:val="standardContextual"/>
        </w:rPr>
        <w:t xml:space="preserve"> skal</w:t>
      </w:r>
      <w:r w:rsidRPr="00DA14C5">
        <w:rPr>
          <w:rFonts w:eastAsiaTheme="majorEastAsia" w:cstheme="minorHAnsi"/>
          <w:b/>
          <w:bCs/>
          <w:color w:val="365F91" w:themeColor="accent1" w:themeShade="BF"/>
          <w:kern w:val="2"/>
          <w:sz w:val="28"/>
          <w:szCs w:val="28"/>
          <w14:ligatures w14:val="standardContextual"/>
        </w:rPr>
        <w:t xml:space="preserve"> indgives </w:t>
      </w:r>
      <w:r w:rsidR="00F16B09" w:rsidRPr="00DA14C5">
        <w:rPr>
          <w:rFonts w:eastAsiaTheme="majorEastAsia" w:cstheme="minorHAnsi"/>
          <w:b/>
          <w:bCs/>
          <w:color w:val="365F91" w:themeColor="accent1" w:themeShade="BF"/>
          <w:kern w:val="2"/>
          <w:sz w:val="28"/>
          <w:szCs w:val="28"/>
          <w14:ligatures w14:val="standardContextual"/>
        </w:rPr>
        <w:t>via udbudssystemet (</w:t>
      </w:r>
      <w:r w:rsidRPr="00DA14C5">
        <w:rPr>
          <w:rFonts w:eastAsiaTheme="majorEastAsia" w:cstheme="minorHAnsi"/>
          <w:b/>
          <w:bCs/>
          <w:color w:val="365F91" w:themeColor="accent1" w:themeShade="BF"/>
          <w:kern w:val="2"/>
          <w:sz w:val="28"/>
          <w:szCs w:val="28"/>
          <w14:ligatures w14:val="standardContextual"/>
        </w:rPr>
        <w:t>EU-Supply</w:t>
      </w:r>
      <w:r w:rsidR="00F16B09" w:rsidRPr="00DA14C5">
        <w:rPr>
          <w:rFonts w:eastAsiaTheme="majorEastAsia" w:cstheme="minorHAnsi"/>
          <w:b/>
          <w:bCs/>
          <w:color w:val="365F91" w:themeColor="accent1" w:themeShade="BF"/>
          <w:kern w:val="2"/>
          <w:sz w:val="28"/>
          <w:szCs w:val="28"/>
          <w14:ligatures w14:val="standardContextual"/>
        </w:rPr>
        <w:t>)</w:t>
      </w:r>
    </w:p>
    <w:p w14:paraId="0B90C6DF" w14:textId="7E1052EF" w:rsidR="00340CFD" w:rsidRPr="004B21D6" w:rsidRDefault="00340CFD" w:rsidP="00340CFD">
      <w:pPr>
        <w:spacing w:after="0" w:line="240" w:lineRule="auto"/>
        <w:rPr>
          <w:sz w:val="24"/>
          <w:szCs w:val="24"/>
        </w:rPr>
      </w:pPr>
      <w:r w:rsidRPr="004B21D6">
        <w:rPr>
          <w:sz w:val="24"/>
          <w:szCs w:val="24"/>
        </w:rPr>
        <w:t>Ansøgning om prækvalifikation skal ske eksklusivt ved udfyldelse af ESPD (Det Fælles Europæiske Udbudsdokument) direkte i e-udbudssystemet EU-Supply. Ansøgninger, der indsendes på anden vis, vil blive afvist som ukonditionsmæssige.</w:t>
      </w:r>
      <w:r w:rsidR="00300599" w:rsidRPr="004B21D6">
        <w:rPr>
          <w:sz w:val="24"/>
          <w:szCs w:val="24"/>
        </w:rPr>
        <w:t xml:space="preserve"> </w:t>
      </w:r>
    </w:p>
    <w:p w14:paraId="769312F0" w14:textId="77777777" w:rsidR="00340CFD" w:rsidRPr="004B21D6" w:rsidRDefault="00340CFD" w:rsidP="003D4DE1">
      <w:pPr>
        <w:spacing w:after="0" w:line="240" w:lineRule="auto"/>
        <w:rPr>
          <w:sz w:val="24"/>
          <w:szCs w:val="24"/>
        </w:rPr>
      </w:pPr>
    </w:p>
    <w:p w14:paraId="0AB7B125" w14:textId="77777777" w:rsidR="00AD6A45" w:rsidRPr="004B21D6" w:rsidRDefault="00AD6A45" w:rsidP="003D4DE1">
      <w:pPr>
        <w:spacing w:after="0" w:line="240" w:lineRule="auto"/>
        <w:rPr>
          <w:rFonts w:eastAsiaTheme="majorEastAsia" w:cstheme="minorHAnsi"/>
          <w:b/>
          <w:bCs/>
          <w:color w:val="365F91" w:themeColor="accent1" w:themeShade="BF"/>
          <w:kern w:val="2"/>
          <w:sz w:val="28"/>
          <w:szCs w:val="28"/>
          <w14:ligatures w14:val="standardContextual"/>
        </w:rPr>
      </w:pPr>
      <w:r w:rsidRPr="004B21D6">
        <w:rPr>
          <w:rFonts w:eastAsiaTheme="majorEastAsia" w:cstheme="minorHAnsi"/>
          <w:b/>
          <w:bCs/>
          <w:color w:val="365F91" w:themeColor="accent1" w:themeShade="BF"/>
          <w:kern w:val="2"/>
          <w:sz w:val="28"/>
          <w:szCs w:val="28"/>
          <w14:ligatures w14:val="standardContextual"/>
        </w:rPr>
        <w:t>Frist for modtagelse af anmodninger om deltagelse</w:t>
      </w:r>
    </w:p>
    <w:p w14:paraId="1699C153" w14:textId="0CB031EE" w:rsidR="00AD6A45" w:rsidRPr="004B21D6" w:rsidRDefault="00300599" w:rsidP="003D4DE1">
      <w:pPr>
        <w:spacing w:after="0" w:line="240" w:lineRule="auto"/>
        <w:rPr>
          <w:sz w:val="24"/>
          <w:szCs w:val="24"/>
        </w:rPr>
      </w:pPr>
      <w:r w:rsidRPr="004B21D6">
        <w:rPr>
          <w:sz w:val="24"/>
          <w:szCs w:val="24"/>
        </w:rPr>
        <w:t>9</w:t>
      </w:r>
      <w:r w:rsidR="00AD6A45" w:rsidRPr="004B21D6">
        <w:rPr>
          <w:sz w:val="24"/>
          <w:szCs w:val="24"/>
        </w:rPr>
        <w:t>/</w:t>
      </w:r>
      <w:r w:rsidRPr="004B21D6">
        <w:rPr>
          <w:sz w:val="24"/>
          <w:szCs w:val="24"/>
        </w:rPr>
        <w:t>11</w:t>
      </w:r>
      <w:r w:rsidR="00AD6A45" w:rsidRPr="004B21D6">
        <w:rPr>
          <w:sz w:val="24"/>
          <w:szCs w:val="24"/>
        </w:rPr>
        <w:t xml:space="preserve">/2026 - </w:t>
      </w:r>
      <w:r w:rsidR="00BA3C79" w:rsidRPr="004B21D6">
        <w:rPr>
          <w:sz w:val="24"/>
          <w:szCs w:val="24"/>
        </w:rPr>
        <w:t>11:00:00 (UTC+00:00) vesteuropæisk tid, GMT</w:t>
      </w:r>
      <w:r w:rsidR="00BA3C79" w:rsidRPr="004B21D6">
        <w:rPr>
          <w:sz w:val="24"/>
          <w:szCs w:val="24"/>
        </w:rPr>
        <w:t xml:space="preserve"> (</w:t>
      </w:r>
      <w:r w:rsidR="00E14CFC" w:rsidRPr="004B21D6">
        <w:rPr>
          <w:sz w:val="24"/>
          <w:szCs w:val="24"/>
        </w:rPr>
        <w:t>kl. 9:00 grønlandsk t</w:t>
      </w:r>
      <w:r w:rsidR="005558C9" w:rsidRPr="004B21D6">
        <w:rPr>
          <w:sz w:val="24"/>
          <w:szCs w:val="24"/>
        </w:rPr>
        <w:t>id</w:t>
      </w:r>
      <w:r w:rsidR="005B05C8" w:rsidRPr="004B21D6">
        <w:rPr>
          <w:sz w:val="24"/>
          <w:szCs w:val="24"/>
        </w:rPr>
        <w:t xml:space="preserve"> </w:t>
      </w:r>
      <w:r w:rsidR="005558C9" w:rsidRPr="004B21D6">
        <w:rPr>
          <w:sz w:val="24"/>
          <w:szCs w:val="24"/>
        </w:rPr>
        <w:t>/</w:t>
      </w:r>
      <w:r w:rsidR="005B05C8" w:rsidRPr="004B21D6">
        <w:rPr>
          <w:sz w:val="24"/>
          <w:szCs w:val="24"/>
        </w:rPr>
        <w:t xml:space="preserve"> </w:t>
      </w:r>
      <w:r w:rsidR="005558C9" w:rsidRPr="004B21D6">
        <w:rPr>
          <w:sz w:val="24"/>
          <w:szCs w:val="24"/>
        </w:rPr>
        <w:t>kl. 12.00 dansk tid</w:t>
      </w:r>
      <w:r w:rsidR="00BA3C79" w:rsidRPr="004B21D6">
        <w:rPr>
          <w:sz w:val="24"/>
          <w:szCs w:val="24"/>
        </w:rPr>
        <w:t>)</w:t>
      </w:r>
    </w:p>
    <w:p w14:paraId="388D9A79" w14:textId="77777777" w:rsidR="002841C2" w:rsidRPr="004B21D6" w:rsidRDefault="002841C2" w:rsidP="003D4DE1">
      <w:pPr>
        <w:spacing w:after="0" w:line="240" w:lineRule="auto"/>
        <w:rPr>
          <w:sz w:val="24"/>
          <w:szCs w:val="24"/>
        </w:rPr>
      </w:pPr>
    </w:p>
    <w:p w14:paraId="2FBFC5C3" w14:textId="6A060433" w:rsidR="001E577E" w:rsidRPr="004B21D6" w:rsidRDefault="001E577E" w:rsidP="001E577E">
      <w:pPr>
        <w:pStyle w:val="Overskrift2"/>
        <w:spacing w:before="0" w:line="240" w:lineRule="auto"/>
        <w:rPr>
          <w:rFonts w:asciiTheme="minorHAnsi" w:hAnsiTheme="minorHAnsi" w:cstheme="minorHAnsi"/>
          <w:b/>
          <w:bCs/>
          <w:sz w:val="28"/>
          <w:szCs w:val="28"/>
        </w:rPr>
      </w:pPr>
      <w:r w:rsidRPr="004B21D6">
        <w:rPr>
          <w:rFonts w:asciiTheme="minorHAnsi" w:hAnsiTheme="minorHAnsi" w:cstheme="minorHAnsi"/>
          <w:b/>
          <w:bCs/>
          <w:sz w:val="28"/>
          <w:szCs w:val="28"/>
        </w:rPr>
        <w:t>Udbuddets omfang</w:t>
      </w:r>
    </w:p>
    <w:p w14:paraId="6B12A6E6" w14:textId="77777777" w:rsidR="001E577E" w:rsidRPr="004B21D6" w:rsidRDefault="001E577E" w:rsidP="001E577E">
      <w:pPr>
        <w:spacing w:after="0" w:line="240" w:lineRule="auto"/>
        <w:rPr>
          <w:rFonts w:cstheme="minorHAnsi"/>
          <w:sz w:val="24"/>
          <w:szCs w:val="24"/>
        </w:rPr>
      </w:pPr>
      <w:r w:rsidRPr="004B21D6">
        <w:rPr>
          <w:rFonts w:cstheme="minorHAnsi"/>
          <w:sz w:val="24"/>
          <w:szCs w:val="24"/>
        </w:rPr>
        <w:t>Nukissiorfiit står overfor en omfattende udskiftning af den eksisterende målerpark, der er en kombination af forskellige typer el-, vand- og varmeafregningsmålere. Projektet har til formål at forny forældet udstyr samt udvikle og optimere Nukissiorfiits forretninger gennem implementering af intelligent måleraflæsning, optimerede serviceydelser og fremadsynet dataanalyse.</w:t>
      </w:r>
    </w:p>
    <w:p w14:paraId="4599B652" w14:textId="77777777" w:rsidR="001E577E" w:rsidRPr="004B21D6" w:rsidRDefault="001E577E" w:rsidP="001E577E">
      <w:pPr>
        <w:spacing w:after="0" w:line="240" w:lineRule="auto"/>
        <w:rPr>
          <w:rFonts w:cstheme="minorHAnsi"/>
          <w:sz w:val="24"/>
          <w:szCs w:val="24"/>
        </w:rPr>
      </w:pPr>
    </w:p>
    <w:p w14:paraId="34F44FDE" w14:textId="7999C358" w:rsidR="001E577E" w:rsidRPr="00BA536F" w:rsidRDefault="001E577E" w:rsidP="001E577E">
      <w:pPr>
        <w:spacing w:after="0" w:line="240" w:lineRule="auto"/>
        <w:rPr>
          <w:rFonts w:cstheme="minorHAnsi"/>
          <w:sz w:val="24"/>
          <w:szCs w:val="24"/>
        </w:rPr>
      </w:pPr>
      <w:r w:rsidRPr="004B21D6">
        <w:rPr>
          <w:rFonts w:cstheme="minorHAnsi"/>
          <w:sz w:val="24"/>
          <w:szCs w:val="24"/>
        </w:rPr>
        <w:t xml:space="preserve">Nukissiorfiit gennemfører derfor et </w:t>
      </w:r>
      <w:r w:rsidR="005C50F5" w:rsidRPr="001F4644">
        <w:rPr>
          <w:rFonts w:cstheme="minorHAnsi"/>
          <w:color w:val="000000" w:themeColor="text1"/>
          <w:sz w:val="24"/>
          <w:szCs w:val="24"/>
        </w:rPr>
        <w:t>gen</w:t>
      </w:r>
      <w:r w:rsidRPr="001F4644">
        <w:rPr>
          <w:rFonts w:cstheme="minorHAnsi"/>
          <w:color w:val="000000" w:themeColor="text1"/>
          <w:sz w:val="24"/>
          <w:szCs w:val="24"/>
        </w:rPr>
        <w:t xml:space="preserve">udbud </w:t>
      </w:r>
      <w:r w:rsidRPr="004B21D6">
        <w:rPr>
          <w:rFonts w:cstheme="minorHAnsi"/>
          <w:sz w:val="24"/>
          <w:szCs w:val="24"/>
        </w:rPr>
        <w:t>af en kontrakt om levering, implementering, idriftsættelse samt efterfølgende drift, support og vedligeholdelse af målere. Derudover skal</w:t>
      </w:r>
      <w:r w:rsidRPr="00BA536F">
        <w:rPr>
          <w:rFonts w:cstheme="minorHAnsi"/>
          <w:sz w:val="24"/>
          <w:szCs w:val="24"/>
        </w:rPr>
        <w:t xml:space="preserve"> Leverandøren etablere, drifte, supportere og vedligeholde det tilhørende Head End System samt levere uddannelse i relation hertil. </w:t>
      </w:r>
    </w:p>
    <w:p w14:paraId="1BA8B697" w14:textId="77777777" w:rsidR="001E577E" w:rsidRPr="00BA536F" w:rsidRDefault="001E577E" w:rsidP="001E577E">
      <w:pPr>
        <w:spacing w:after="0" w:line="240" w:lineRule="auto"/>
        <w:rPr>
          <w:rFonts w:cstheme="minorHAnsi"/>
          <w:sz w:val="24"/>
          <w:szCs w:val="24"/>
        </w:rPr>
      </w:pPr>
    </w:p>
    <w:p w14:paraId="32718883"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Leverandøren skal desuden forestå etablering af integrationer til Nukissiorfiits interne systemer.</w:t>
      </w:r>
    </w:p>
    <w:p w14:paraId="488ED245" w14:textId="77777777" w:rsidR="001E577E" w:rsidRPr="00BA536F" w:rsidRDefault="001E577E" w:rsidP="001E577E">
      <w:pPr>
        <w:spacing w:after="0" w:line="240" w:lineRule="auto"/>
        <w:rPr>
          <w:rFonts w:cstheme="minorHAnsi"/>
          <w:sz w:val="24"/>
          <w:szCs w:val="24"/>
        </w:rPr>
      </w:pPr>
    </w:p>
    <w:p w14:paraId="2A258240"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Kommunikationsinfrastrukturen for målerparken leveres af Tussas.</w:t>
      </w:r>
    </w:p>
    <w:p w14:paraId="7C029B47" w14:textId="77777777" w:rsidR="001E577E" w:rsidRPr="00BA536F" w:rsidRDefault="001E577E" w:rsidP="001E577E">
      <w:pPr>
        <w:spacing w:after="0" w:line="240" w:lineRule="auto"/>
        <w:rPr>
          <w:rFonts w:cstheme="minorHAnsi"/>
          <w:sz w:val="24"/>
          <w:szCs w:val="24"/>
        </w:rPr>
      </w:pPr>
    </w:p>
    <w:p w14:paraId="0B0BDE52"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 xml:space="preserve">Udskiftningen af målerparken omfatter leverance af i alt ca. 61.000 målere. Størstedelen af målerne skal leveres som en del af et udrulningsprojekt, der omfatter planlægning, koordinering, levering og udskiftning (nedtagning og installation) af målere samt etablering af Head End </w:t>
      </w:r>
      <w:r w:rsidRPr="00BA536F">
        <w:rPr>
          <w:rFonts w:cstheme="minorHAnsi"/>
          <w:sz w:val="24"/>
          <w:szCs w:val="24"/>
        </w:rPr>
        <w:lastRenderedPageBreak/>
        <w:t>Systemet, hvor leverandøren skal levere, installere og idriftsætte i alt ca. 52.000 målere i de 14 største byer som angivet i udbudsmaterialet.</w:t>
      </w:r>
    </w:p>
    <w:p w14:paraId="615C9613" w14:textId="77777777" w:rsidR="001E577E" w:rsidRPr="00BA536F" w:rsidRDefault="001E577E" w:rsidP="001E577E">
      <w:pPr>
        <w:spacing w:after="0" w:line="240" w:lineRule="auto"/>
        <w:rPr>
          <w:rFonts w:cstheme="minorHAnsi"/>
          <w:sz w:val="24"/>
          <w:szCs w:val="24"/>
        </w:rPr>
      </w:pPr>
    </w:p>
    <w:p w14:paraId="37F65023"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Nukissiorfiit står selv for udskiftningen af det resterende antal målere. Leverandøren skal dog levere det samlede estimerede antal målere, idet Nukissiorfiit såvel under som efter udrulningsprojektet løbende kan bestille målere og tilhørende serviceydelser til levering hos Nukissiorfiit.</w:t>
      </w:r>
    </w:p>
    <w:p w14:paraId="7F6D2481" w14:textId="77777777" w:rsidR="001E577E" w:rsidRPr="00BA536F" w:rsidRDefault="001E577E" w:rsidP="001E577E">
      <w:pPr>
        <w:spacing w:after="0" w:line="240" w:lineRule="auto"/>
        <w:rPr>
          <w:rFonts w:cstheme="minorHAnsi"/>
          <w:sz w:val="24"/>
          <w:szCs w:val="24"/>
        </w:rPr>
      </w:pPr>
    </w:p>
    <w:p w14:paraId="191E683E"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Leverandøren skal desuden etablere en webbaseret kundeservicefunktion for Nukissiorfiits forbrugere i forbindelse med udskiftningen af målere.</w:t>
      </w:r>
    </w:p>
    <w:p w14:paraId="3E91E445" w14:textId="77777777" w:rsidR="001E577E" w:rsidRPr="00BA536F" w:rsidRDefault="001E577E" w:rsidP="001E577E">
      <w:pPr>
        <w:spacing w:after="0" w:line="240" w:lineRule="auto"/>
        <w:rPr>
          <w:rFonts w:cstheme="minorHAnsi"/>
          <w:sz w:val="24"/>
          <w:szCs w:val="24"/>
        </w:rPr>
      </w:pPr>
    </w:p>
    <w:p w14:paraId="7DEF0B6C" w14:textId="6AC3BB37" w:rsidR="001E577E" w:rsidRPr="00BA536F" w:rsidRDefault="001E577E" w:rsidP="001E577E">
      <w:pPr>
        <w:spacing w:after="0" w:line="240" w:lineRule="auto"/>
        <w:rPr>
          <w:rFonts w:cstheme="minorHAnsi"/>
          <w:sz w:val="24"/>
          <w:szCs w:val="24"/>
        </w:rPr>
      </w:pPr>
      <w:r w:rsidRPr="00BA536F">
        <w:rPr>
          <w:rFonts w:cstheme="minorHAnsi"/>
          <w:sz w:val="24"/>
          <w:szCs w:val="24"/>
        </w:rPr>
        <w:t xml:space="preserve">Udrulningsprojektet forventes at starte umiddelbart efter kontraktindgåelsen og lokationsvis masseudrulning forventes at starte </w:t>
      </w:r>
      <w:r w:rsidR="00B34D92">
        <w:rPr>
          <w:rFonts w:cstheme="minorHAnsi"/>
          <w:sz w:val="24"/>
          <w:szCs w:val="24"/>
        </w:rPr>
        <w:t>i april</w:t>
      </w:r>
      <w:r w:rsidRPr="00BA536F">
        <w:rPr>
          <w:rFonts w:cstheme="minorHAnsi"/>
          <w:sz w:val="24"/>
          <w:szCs w:val="24"/>
        </w:rPr>
        <w:t xml:space="preserve"> 2028.</w:t>
      </w:r>
    </w:p>
    <w:p w14:paraId="56961EB3" w14:textId="77777777" w:rsidR="001E577E" w:rsidRPr="00BA536F" w:rsidRDefault="001E577E" w:rsidP="001E577E">
      <w:pPr>
        <w:spacing w:after="0" w:line="240" w:lineRule="auto"/>
        <w:rPr>
          <w:rFonts w:cstheme="minorHAnsi"/>
          <w:sz w:val="24"/>
          <w:szCs w:val="24"/>
        </w:rPr>
      </w:pPr>
    </w:p>
    <w:p w14:paraId="5824AB97"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Udbuddet gennemføres som et udbud med forhandling, jf. § 15 i Inatsisartutlov nr. 6 af 12. juni 2019 om udbud i forbindelse med indkøb af varer og tjenesteydelser i offentlige myndigheder og institutioner.</w:t>
      </w:r>
    </w:p>
    <w:p w14:paraId="11D7B5A5" w14:textId="77777777" w:rsidR="001E577E" w:rsidRPr="00BA536F" w:rsidRDefault="001E577E" w:rsidP="001E577E">
      <w:pPr>
        <w:spacing w:after="0" w:line="240" w:lineRule="auto"/>
        <w:rPr>
          <w:rFonts w:cstheme="minorHAnsi"/>
          <w:sz w:val="24"/>
          <w:szCs w:val="24"/>
        </w:rPr>
      </w:pPr>
    </w:p>
    <w:p w14:paraId="1B60431A"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Kontrakten indeholder rammeaftalelignende elementer, idet der kan tilkøbes leverancer af både målere til nærmere angivne enhedspriser og timebaserede ydelser til nærmere fastsatte timepriser.</w:t>
      </w:r>
    </w:p>
    <w:p w14:paraId="56FAECD9" w14:textId="77777777" w:rsidR="001E577E" w:rsidRPr="00BA536F" w:rsidRDefault="001E577E" w:rsidP="001E577E">
      <w:pPr>
        <w:spacing w:after="0" w:line="240" w:lineRule="auto"/>
        <w:rPr>
          <w:rFonts w:cstheme="minorHAnsi"/>
          <w:sz w:val="24"/>
          <w:szCs w:val="24"/>
        </w:rPr>
      </w:pPr>
    </w:p>
    <w:p w14:paraId="735D27B5" w14:textId="77777777" w:rsidR="001E577E" w:rsidRPr="00BA536F" w:rsidRDefault="001E577E" w:rsidP="001E577E">
      <w:pPr>
        <w:spacing w:after="0" w:line="240" w:lineRule="auto"/>
        <w:rPr>
          <w:rFonts w:cstheme="minorHAnsi"/>
          <w:sz w:val="24"/>
          <w:szCs w:val="24"/>
        </w:rPr>
      </w:pPr>
      <w:r w:rsidRPr="00BA536F">
        <w:rPr>
          <w:rFonts w:cstheme="minorHAnsi"/>
          <w:sz w:val="24"/>
          <w:szCs w:val="24"/>
        </w:rPr>
        <w:t>I henhold til § 30, stk. 2, i Inatsisartutlov nr. 6 af 12. juni 2019 om udbud i forbindelse med indkøb af varer og tjenesteydelser i offentlige myndigheder og institutioner er det Nukissiorfiits vurdering, at kontrakten ikke hverken strategisk, teknisk eller forretningsmæssigt er egnet til at opdele i særskilte delkontrakter.</w:t>
      </w:r>
    </w:p>
    <w:p w14:paraId="5F88D25C" w14:textId="77777777" w:rsidR="003D4DE1" w:rsidRPr="00BA536F" w:rsidRDefault="003D4DE1" w:rsidP="00E553B3">
      <w:pPr>
        <w:spacing w:after="0" w:line="240" w:lineRule="auto"/>
        <w:rPr>
          <w:rFonts w:cstheme="minorHAnsi"/>
          <w:sz w:val="24"/>
          <w:szCs w:val="24"/>
        </w:rPr>
      </w:pPr>
    </w:p>
    <w:sectPr w:rsidR="003D4DE1" w:rsidRPr="00BA536F" w:rsidSect="004B300B">
      <w:headerReference w:type="default" r:id="rId9"/>
      <w:footerReference w:type="default" r:id="rId10"/>
      <w:pgSz w:w="11906" w:h="16838"/>
      <w:pgMar w:top="1387" w:right="1134" w:bottom="1276" w:left="1134" w:header="426" w:footer="1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36BEA" w14:textId="77777777" w:rsidR="00D347AC" w:rsidRDefault="00D347AC" w:rsidP="00462113">
      <w:pPr>
        <w:spacing w:after="0" w:line="240" w:lineRule="auto"/>
      </w:pPr>
      <w:r>
        <w:separator/>
      </w:r>
    </w:p>
  </w:endnote>
  <w:endnote w:type="continuationSeparator" w:id="0">
    <w:p w14:paraId="376AFC18" w14:textId="77777777" w:rsidR="00D347AC" w:rsidRDefault="00D347AC" w:rsidP="00462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103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7797"/>
      <w:gridCol w:w="1310"/>
    </w:tblGrid>
    <w:tr w:rsidR="004B300B" w:rsidRPr="004B300B" w14:paraId="3217FF03" w14:textId="77777777" w:rsidTr="00C13E29">
      <w:trPr>
        <w:jc w:val="center"/>
      </w:trPr>
      <w:tc>
        <w:tcPr>
          <w:tcW w:w="1242" w:type="dxa"/>
        </w:tcPr>
        <w:p w14:paraId="3217FF00" w14:textId="77777777" w:rsidR="00C13E29" w:rsidRPr="00F9074A" w:rsidRDefault="00C13E29" w:rsidP="00C13E29">
          <w:pPr>
            <w:pStyle w:val="Sidefod"/>
            <w:rPr>
              <w:rFonts w:ascii="Arial" w:hAnsi="Arial" w:cs="Arial"/>
              <w:b/>
              <w:color w:val="00559F"/>
              <w:sz w:val="16"/>
              <w:szCs w:val="16"/>
            </w:rPr>
          </w:pPr>
        </w:p>
      </w:tc>
      <w:tc>
        <w:tcPr>
          <w:tcW w:w="7797" w:type="dxa"/>
        </w:tcPr>
        <w:p w14:paraId="3217FF01" w14:textId="77777777" w:rsidR="00C13E29" w:rsidRPr="00F9074A" w:rsidRDefault="00C13E29" w:rsidP="00C13E29">
          <w:pPr>
            <w:pStyle w:val="Sidefod"/>
            <w:jc w:val="center"/>
            <w:rPr>
              <w:rFonts w:ascii="Arial" w:hAnsi="Arial" w:cs="Arial"/>
              <w:color w:val="00559F"/>
              <w:sz w:val="16"/>
              <w:szCs w:val="16"/>
            </w:rPr>
          </w:pPr>
          <w:r w:rsidRPr="00F9074A">
            <w:rPr>
              <w:rFonts w:ascii="Arial" w:hAnsi="Arial" w:cs="Arial"/>
              <w:b/>
              <w:color w:val="00559F"/>
              <w:sz w:val="16"/>
              <w:szCs w:val="16"/>
            </w:rPr>
            <w:t>Nukissiorfiit     Postbox 1080     3900 Nuuk     Tlf. +299 34 95 00     nukissiorfiit@nukissiorfiit.gl</w:t>
          </w:r>
          <w:r w:rsidRPr="00F9074A">
            <w:rPr>
              <w:rFonts w:ascii="Arial" w:hAnsi="Arial" w:cs="Arial"/>
              <w:b/>
              <w:color w:val="00559F"/>
              <w:sz w:val="16"/>
              <w:szCs w:val="16"/>
            </w:rPr>
            <w:fldChar w:fldCharType="begin"/>
          </w:r>
          <w:r w:rsidRPr="00F9074A">
            <w:rPr>
              <w:rFonts w:ascii="Arial" w:hAnsi="Arial" w:cs="Arial"/>
              <w:b/>
              <w:color w:val="00559F"/>
              <w:sz w:val="16"/>
              <w:szCs w:val="16"/>
            </w:rPr>
            <w:instrText xml:space="preserve"> NUMPAGES-1 \* Arabic  \* MERGEFORMAT </w:instrText>
          </w:r>
          <w:r w:rsidRPr="00F9074A">
            <w:rPr>
              <w:rFonts w:ascii="Arial" w:hAnsi="Arial" w:cs="Arial"/>
              <w:b/>
              <w:color w:val="00559F"/>
              <w:sz w:val="16"/>
              <w:szCs w:val="16"/>
            </w:rPr>
            <w:fldChar w:fldCharType="separate"/>
          </w:r>
          <w:r w:rsidRPr="00F9074A">
            <w:rPr>
              <w:rFonts w:ascii="Arial" w:hAnsi="Arial" w:cs="Arial"/>
              <w:b/>
              <w:noProof/>
              <w:color w:val="00559F"/>
              <w:sz w:val="16"/>
              <w:szCs w:val="16"/>
            </w:rPr>
            <w:t>17</w:t>
          </w:r>
          <w:r w:rsidRPr="00F9074A">
            <w:rPr>
              <w:rFonts w:ascii="Arial" w:hAnsi="Arial" w:cs="Arial"/>
              <w:b/>
              <w:color w:val="00559F"/>
              <w:sz w:val="16"/>
              <w:szCs w:val="16"/>
            </w:rPr>
            <w:fldChar w:fldCharType="end"/>
          </w:r>
        </w:p>
      </w:tc>
      <w:tc>
        <w:tcPr>
          <w:tcW w:w="1310" w:type="dxa"/>
        </w:tcPr>
        <w:p w14:paraId="3217FF02" w14:textId="77777777" w:rsidR="00C13E29" w:rsidRPr="00F9074A" w:rsidRDefault="00C13E29" w:rsidP="00C13E29">
          <w:pPr>
            <w:pStyle w:val="Sidefod"/>
            <w:jc w:val="right"/>
            <w:rPr>
              <w:rFonts w:ascii="Arial" w:hAnsi="Arial" w:cs="Arial"/>
              <w:b/>
              <w:color w:val="00559F"/>
              <w:sz w:val="16"/>
              <w:szCs w:val="16"/>
            </w:rPr>
          </w:pPr>
          <w:r w:rsidRPr="00F9074A">
            <w:rPr>
              <w:rFonts w:ascii="Arial" w:hAnsi="Arial" w:cs="Arial"/>
              <w:b/>
              <w:color w:val="00559F"/>
              <w:sz w:val="16"/>
              <w:szCs w:val="16"/>
            </w:rPr>
            <w:t xml:space="preserve">Side </w:t>
          </w:r>
          <w:r w:rsidRPr="00F9074A">
            <w:rPr>
              <w:rFonts w:ascii="Arial" w:hAnsi="Arial" w:cs="Arial"/>
              <w:b/>
              <w:color w:val="00559F"/>
              <w:sz w:val="16"/>
              <w:szCs w:val="16"/>
            </w:rPr>
            <w:fldChar w:fldCharType="begin"/>
          </w:r>
          <w:r w:rsidRPr="00F9074A">
            <w:rPr>
              <w:rFonts w:ascii="Arial" w:hAnsi="Arial" w:cs="Arial"/>
              <w:b/>
              <w:color w:val="00559F"/>
              <w:sz w:val="16"/>
              <w:szCs w:val="16"/>
            </w:rPr>
            <w:instrText>PAGE  \* Arabic  \* MERGEFORMAT</w:instrText>
          </w:r>
          <w:r w:rsidRPr="00F9074A">
            <w:rPr>
              <w:rFonts w:ascii="Arial" w:hAnsi="Arial" w:cs="Arial"/>
              <w:b/>
              <w:color w:val="00559F"/>
              <w:sz w:val="16"/>
              <w:szCs w:val="16"/>
            </w:rPr>
            <w:fldChar w:fldCharType="separate"/>
          </w:r>
          <w:r w:rsidR="00363493">
            <w:rPr>
              <w:rFonts w:ascii="Arial" w:hAnsi="Arial" w:cs="Arial"/>
              <w:b/>
              <w:noProof/>
              <w:color w:val="00559F"/>
              <w:sz w:val="16"/>
              <w:szCs w:val="16"/>
            </w:rPr>
            <w:t>1</w:t>
          </w:r>
          <w:r w:rsidRPr="00F9074A">
            <w:rPr>
              <w:rFonts w:ascii="Arial" w:hAnsi="Arial" w:cs="Arial"/>
              <w:b/>
              <w:color w:val="00559F"/>
              <w:sz w:val="16"/>
              <w:szCs w:val="16"/>
            </w:rPr>
            <w:fldChar w:fldCharType="end"/>
          </w:r>
          <w:r w:rsidRPr="00F9074A">
            <w:rPr>
              <w:rFonts w:ascii="Arial" w:hAnsi="Arial" w:cs="Arial"/>
              <w:b/>
              <w:color w:val="00559F"/>
              <w:sz w:val="16"/>
              <w:szCs w:val="16"/>
            </w:rPr>
            <w:t xml:space="preserve"> af </w:t>
          </w:r>
          <w:r w:rsidRPr="00F9074A">
            <w:rPr>
              <w:rFonts w:ascii="Arial" w:hAnsi="Arial" w:cs="Arial"/>
              <w:b/>
              <w:color w:val="00559F"/>
              <w:sz w:val="16"/>
              <w:szCs w:val="16"/>
            </w:rPr>
            <w:fldChar w:fldCharType="begin"/>
          </w:r>
          <w:r w:rsidRPr="00F9074A">
            <w:rPr>
              <w:rFonts w:ascii="Arial" w:hAnsi="Arial" w:cs="Arial"/>
              <w:b/>
              <w:color w:val="00559F"/>
              <w:sz w:val="16"/>
              <w:szCs w:val="16"/>
            </w:rPr>
            <w:instrText>NUMPAGES  \* Arabic  \* MERGEFORMAT</w:instrText>
          </w:r>
          <w:r w:rsidRPr="00F9074A">
            <w:rPr>
              <w:rFonts w:ascii="Arial" w:hAnsi="Arial" w:cs="Arial"/>
              <w:b/>
              <w:color w:val="00559F"/>
              <w:sz w:val="16"/>
              <w:szCs w:val="16"/>
            </w:rPr>
            <w:fldChar w:fldCharType="separate"/>
          </w:r>
          <w:r w:rsidR="00363493">
            <w:rPr>
              <w:rFonts w:ascii="Arial" w:hAnsi="Arial" w:cs="Arial"/>
              <w:b/>
              <w:noProof/>
              <w:color w:val="00559F"/>
              <w:sz w:val="16"/>
              <w:szCs w:val="16"/>
            </w:rPr>
            <w:t>1</w:t>
          </w:r>
          <w:r w:rsidRPr="00F9074A">
            <w:rPr>
              <w:rFonts w:ascii="Arial" w:hAnsi="Arial" w:cs="Arial"/>
              <w:b/>
              <w:color w:val="00559F"/>
              <w:sz w:val="16"/>
              <w:szCs w:val="16"/>
            </w:rPr>
            <w:fldChar w:fldCharType="end"/>
          </w:r>
        </w:p>
      </w:tc>
    </w:tr>
  </w:tbl>
  <w:p w14:paraId="3217FF04" w14:textId="77777777" w:rsidR="00C13E29" w:rsidRDefault="00C13E29" w:rsidP="00C13E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60F67" w14:textId="77777777" w:rsidR="00D347AC" w:rsidRDefault="00D347AC" w:rsidP="00462113">
      <w:pPr>
        <w:spacing w:after="0" w:line="240" w:lineRule="auto"/>
      </w:pPr>
      <w:r>
        <w:separator/>
      </w:r>
    </w:p>
  </w:footnote>
  <w:footnote w:type="continuationSeparator" w:id="0">
    <w:p w14:paraId="255009ED" w14:textId="77777777" w:rsidR="00D347AC" w:rsidRDefault="00D347AC" w:rsidP="00462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10442" w:type="dxa"/>
      <w:tblInd w:w="-34" w:type="dxa"/>
      <w:tblBorders>
        <w:top w:val="none" w:sz="0" w:space="0" w:color="auto"/>
        <w:left w:val="none" w:sz="0" w:space="0" w:color="auto"/>
        <w:bottom w:val="single" w:sz="24" w:space="0" w:color="0070C0"/>
        <w:right w:val="none" w:sz="0" w:space="0" w:color="auto"/>
        <w:insideH w:val="none" w:sz="0" w:space="0" w:color="auto"/>
        <w:insideV w:val="none" w:sz="0" w:space="0" w:color="auto"/>
      </w:tblBorders>
      <w:tblLook w:val="04A0" w:firstRow="1" w:lastRow="0" w:firstColumn="1" w:lastColumn="0" w:noHBand="0" w:noVBand="1"/>
    </w:tblPr>
    <w:tblGrid>
      <w:gridCol w:w="2610"/>
      <w:gridCol w:w="2610"/>
      <w:gridCol w:w="2611"/>
      <w:gridCol w:w="2611"/>
    </w:tblGrid>
    <w:tr w:rsidR="00363493" w:rsidRPr="004B300B" w14:paraId="3217FEF2" w14:textId="77777777" w:rsidTr="00ED7E1C">
      <w:trPr>
        <w:trHeight w:val="267"/>
      </w:trPr>
      <w:tc>
        <w:tcPr>
          <w:tcW w:w="7831" w:type="dxa"/>
          <w:gridSpan w:val="3"/>
          <w:tcBorders>
            <w:bottom w:val="nil"/>
          </w:tcBorders>
        </w:tcPr>
        <w:p w14:paraId="3217FEF0" w14:textId="114C4B65" w:rsidR="00363493" w:rsidRPr="00F9074A" w:rsidRDefault="00851AFB" w:rsidP="00851AFB">
          <w:pPr>
            <w:pStyle w:val="Sidehoved"/>
            <w:tabs>
              <w:tab w:val="clear" w:pos="4819"/>
              <w:tab w:val="clear" w:pos="9638"/>
              <w:tab w:val="left" w:pos="2731"/>
            </w:tabs>
            <w:rPr>
              <w:color w:val="00559F"/>
            </w:rPr>
          </w:pPr>
          <w:r>
            <w:rPr>
              <w:color w:val="00559F"/>
            </w:rPr>
            <w:tab/>
          </w:r>
        </w:p>
      </w:tc>
      <w:tc>
        <w:tcPr>
          <w:tcW w:w="2611" w:type="dxa"/>
          <w:vMerge w:val="restart"/>
          <w:tcBorders>
            <w:bottom w:val="nil"/>
          </w:tcBorders>
        </w:tcPr>
        <w:p w14:paraId="3217FEF1" w14:textId="77777777" w:rsidR="00363493" w:rsidRPr="00F9074A" w:rsidRDefault="00363493">
          <w:pPr>
            <w:pStyle w:val="Sidehoved"/>
            <w:rPr>
              <w:color w:val="00559F"/>
            </w:rPr>
          </w:pPr>
          <w:r w:rsidRPr="00F9074A">
            <w:rPr>
              <w:noProof/>
              <w:color w:val="00559F"/>
              <w:lang w:eastAsia="da-DK"/>
            </w:rPr>
            <w:drawing>
              <wp:anchor distT="0" distB="0" distL="114300" distR="114300" simplePos="0" relativeHeight="251660288" behindDoc="1" locked="0" layoutInCell="1" allowOverlap="1" wp14:anchorId="3217FF05" wp14:editId="3217FF06">
                <wp:simplePos x="0" y="0"/>
                <wp:positionH relativeFrom="column">
                  <wp:posOffset>-62865</wp:posOffset>
                </wp:positionH>
                <wp:positionV relativeFrom="paragraph">
                  <wp:posOffset>84124</wp:posOffset>
                </wp:positionV>
                <wp:extent cx="1651609" cy="349857"/>
                <wp:effectExtent l="0" t="0" r="6350" b="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kissiorfiit_bla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609" cy="349857"/>
                        </a:xfrm>
                        <a:prstGeom prst="rect">
                          <a:avLst/>
                        </a:prstGeom>
                      </pic:spPr>
                    </pic:pic>
                  </a:graphicData>
                </a:graphic>
                <wp14:sizeRelH relativeFrom="page">
                  <wp14:pctWidth>0</wp14:pctWidth>
                </wp14:sizeRelH>
                <wp14:sizeRelV relativeFrom="page">
                  <wp14:pctHeight>0</wp14:pctHeight>
                </wp14:sizeRelV>
              </wp:anchor>
            </w:drawing>
          </w:r>
        </w:p>
      </w:tc>
    </w:tr>
    <w:tr w:rsidR="004B300B" w:rsidRPr="004B300B" w14:paraId="3217FEF7" w14:textId="77777777" w:rsidTr="00ED7E1C">
      <w:trPr>
        <w:trHeight w:val="267"/>
      </w:trPr>
      <w:tc>
        <w:tcPr>
          <w:tcW w:w="2610" w:type="dxa"/>
          <w:tcBorders>
            <w:bottom w:val="nil"/>
          </w:tcBorders>
        </w:tcPr>
        <w:p w14:paraId="3217FEF3" w14:textId="4EC90832" w:rsidR="00462113" w:rsidRPr="00F9074A" w:rsidRDefault="00E705F2" w:rsidP="008D1C5C">
          <w:pPr>
            <w:pStyle w:val="Sidehoved"/>
            <w:rPr>
              <w:color w:val="00559F"/>
            </w:rPr>
          </w:pPr>
          <w:r w:rsidRPr="00F9074A">
            <w:rPr>
              <w:color w:val="00559F"/>
            </w:rPr>
            <w:t>Sag</w:t>
          </w:r>
          <w:r>
            <w:rPr>
              <w:color w:val="00559F"/>
            </w:rPr>
            <w:t xml:space="preserve"> Titel</w:t>
          </w:r>
          <w:r w:rsidRPr="00F9074A">
            <w:rPr>
              <w:color w:val="00559F"/>
            </w:rPr>
            <w:t xml:space="preserve">: PAS </w:t>
          </w:r>
          <w:r>
            <w:rPr>
              <w:color w:val="00559F"/>
            </w:rPr>
            <w:t>002.01.037</w:t>
          </w:r>
        </w:p>
      </w:tc>
      <w:tc>
        <w:tcPr>
          <w:tcW w:w="2610" w:type="dxa"/>
          <w:tcBorders>
            <w:bottom w:val="nil"/>
          </w:tcBorders>
        </w:tcPr>
        <w:p w14:paraId="3217FEF4" w14:textId="6429EC4E" w:rsidR="00462113" w:rsidRPr="00F9074A" w:rsidRDefault="00363493" w:rsidP="008D1C5C">
          <w:pPr>
            <w:pStyle w:val="Sidehoved"/>
            <w:rPr>
              <w:color w:val="00559F"/>
            </w:rPr>
          </w:pPr>
          <w:r w:rsidRPr="00F9074A">
            <w:rPr>
              <w:color w:val="00559F"/>
            </w:rPr>
            <w:t>Ud</w:t>
          </w:r>
          <w:r>
            <w:rPr>
              <w:color w:val="00559F"/>
            </w:rPr>
            <w:t>arbejdet</w:t>
          </w:r>
          <w:r w:rsidRPr="00F9074A">
            <w:rPr>
              <w:color w:val="00559F"/>
            </w:rPr>
            <w:t xml:space="preserve"> af: </w:t>
          </w:r>
          <w:r w:rsidR="004C6C42">
            <w:rPr>
              <w:color w:val="00559F"/>
            </w:rPr>
            <w:t>NBAUM</w:t>
          </w:r>
        </w:p>
      </w:tc>
      <w:tc>
        <w:tcPr>
          <w:tcW w:w="2611" w:type="dxa"/>
          <w:tcBorders>
            <w:bottom w:val="nil"/>
          </w:tcBorders>
        </w:tcPr>
        <w:p w14:paraId="3217FEF5" w14:textId="6CCFF11A" w:rsidR="00462113" w:rsidRPr="00F9074A" w:rsidRDefault="00462113">
          <w:pPr>
            <w:pStyle w:val="Sidehoved"/>
            <w:rPr>
              <w:color w:val="00559F"/>
            </w:rPr>
          </w:pPr>
        </w:p>
      </w:tc>
      <w:tc>
        <w:tcPr>
          <w:tcW w:w="2611" w:type="dxa"/>
          <w:vMerge/>
          <w:tcBorders>
            <w:bottom w:val="nil"/>
          </w:tcBorders>
        </w:tcPr>
        <w:p w14:paraId="3217FEF6" w14:textId="77777777" w:rsidR="00462113" w:rsidRPr="00F9074A" w:rsidRDefault="00462113">
          <w:pPr>
            <w:pStyle w:val="Sidehoved"/>
            <w:rPr>
              <w:color w:val="00559F"/>
            </w:rPr>
          </w:pPr>
        </w:p>
      </w:tc>
    </w:tr>
    <w:tr w:rsidR="00363493" w:rsidRPr="004B300B" w14:paraId="3217FEFC" w14:textId="77777777" w:rsidTr="00ED7E1C">
      <w:trPr>
        <w:trHeight w:val="279"/>
      </w:trPr>
      <w:tc>
        <w:tcPr>
          <w:tcW w:w="2610" w:type="dxa"/>
          <w:tcBorders>
            <w:bottom w:val="nil"/>
          </w:tcBorders>
        </w:tcPr>
        <w:p w14:paraId="3217FEF8" w14:textId="19C17906" w:rsidR="00363493" w:rsidRPr="00F9074A" w:rsidRDefault="00E705F2">
          <w:pPr>
            <w:pStyle w:val="Sidehoved"/>
            <w:rPr>
              <w:color w:val="00559F"/>
            </w:rPr>
          </w:pPr>
          <w:r w:rsidRPr="00F9074A">
            <w:rPr>
              <w:color w:val="00559F"/>
            </w:rPr>
            <w:t xml:space="preserve">Dato: </w:t>
          </w:r>
          <w:r w:rsidR="00FD77A1">
            <w:rPr>
              <w:color w:val="00559F"/>
            </w:rPr>
            <w:t>17</w:t>
          </w:r>
          <w:r w:rsidR="0084303C">
            <w:rPr>
              <w:color w:val="00559F"/>
            </w:rPr>
            <w:t>.</w:t>
          </w:r>
          <w:r w:rsidR="00FD77A1">
            <w:rPr>
              <w:color w:val="00559F"/>
            </w:rPr>
            <w:t>7</w:t>
          </w:r>
          <w:r>
            <w:rPr>
              <w:color w:val="00559F"/>
            </w:rPr>
            <w:t>.202</w:t>
          </w:r>
          <w:r w:rsidR="00FD77A1">
            <w:rPr>
              <w:color w:val="00559F"/>
            </w:rPr>
            <w:t>6</w:t>
          </w:r>
        </w:p>
      </w:tc>
      <w:tc>
        <w:tcPr>
          <w:tcW w:w="2610" w:type="dxa"/>
          <w:tcBorders>
            <w:bottom w:val="nil"/>
          </w:tcBorders>
        </w:tcPr>
        <w:p w14:paraId="3217FEF9" w14:textId="77FF16EA" w:rsidR="00363493" w:rsidRPr="00F9074A" w:rsidRDefault="00ED1F12" w:rsidP="008D1C5C">
          <w:pPr>
            <w:pStyle w:val="Sidehoved"/>
            <w:rPr>
              <w:color w:val="00559F"/>
            </w:rPr>
          </w:pPr>
          <w:r>
            <w:rPr>
              <w:color w:val="00559F"/>
            </w:rPr>
            <w:t xml:space="preserve">Opdateret </w:t>
          </w:r>
          <w:r w:rsidR="00095AB8">
            <w:rPr>
              <w:color w:val="00559F"/>
            </w:rPr>
            <w:t>2</w:t>
          </w:r>
          <w:r w:rsidR="004A1BBD">
            <w:rPr>
              <w:color w:val="00559F"/>
            </w:rPr>
            <w:t>6</w:t>
          </w:r>
          <w:r w:rsidR="00095AB8">
            <w:rPr>
              <w:color w:val="00559F"/>
            </w:rPr>
            <w:t>.10</w:t>
          </w:r>
          <w:r>
            <w:rPr>
              <w:color w:val="00559F"/>
            </w:rPr>
            <w:t>.2026</w:t>
          </w:r>
        </w:p>
      </w:tc>
      <w:tc>
        <w:tcPr>
          <w:tcW w:w="2611" w:type="dxa"/>
          <w:tcBorders>
            <w:bottom w:val="nil"/>
          </w:tcBorders>
        </w:tcPr>
        <w:p w14:paraId="3217FEFA" w14:textId="66ADD649" w:rsidR="00363493" w:rsidRPr="00F9074A" w:rsidRDefault="00363493">
          <w:pPr>
            <w:pStyle w:val="Sidehoved"/>
            <w:rPr>
              <w:color w:val="00559F"/>
            </w:rPr>
          </w:pPr>
        </w:p>
      </w:tc>
      <w:tc>
        <w:tcPr>
          <w:tcW w:w="2611" w:type="dxa"/>
          <w:vMerge/>
          <w:tcBorders>
            <w:bottom w:val="nil"/>
          </w:tcBorders>
        </w:tcPr>
        <w:p w14:paraId="3217FEFB" w14:textId="77777777" w:rsidR="00363493" w:rsidRPr="00F9074A" w:rsidRDefault="00363493">
          <w:pPr>
            <w:pStyle w:val="Sidehoved"/>
            <w:rPr>
              <w:color w:val="00559F"/>
            </w:rPr>
          </w:pPr>
        </w:p>
      </w:tc>
    </w:tr>
    <w:tr w:rsidR="00363493" w:rsidRPr="004B300B" w14:paraId="3217FEFE" w14:textId="77777777" w:rsidTr="00ED7E1C">
      <w:trPr>
        <w:trHeight w:val="70"/>
      </w:trPr>
      <w:tc>
        <w:tcPr>
          <w:tcW w:w="10442" w:type="dxa"/>
          <w:gridSpan w:val="4"/>
          <w:tcBorders>
            <w:bottom w:val="single" w:sz="24" w:space="0" w:color="00559F"/>
          </w:tcBorders>
        </w:tcPr>
        <w:p w14:paraId="3217FEFD" w14:textId="77777777" w:rsidR="00363493" w:rsidRPr="00F9074A" w:rsidRDefault="00363493">
          <w:pPr>
            <w:pStyle w:val="Sidehoved"/>
            <w:rPr>
              <w:color w:val="00559F"/>
              <w:sz w:val="8"/>
              <w:szCs w:val="8"/>
            </w:rPr>
          </w:pPr>
        </w:p>
      </w:tc>
    </w:tr>
  </w:tbl>
  <w:p w14:paraId="3217FEFF" w14:textId="77777777" w:rsidR="00462113" w:rsidRPr="004B300B" w:rsidRDefault="00462113">
    <w:pPr>
      <w:pStyle w:val="Sidehoved"/>
      <w:rPr>
        <w:color w:val="007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2D02"/>
    <w:multiLevelType w:val="hybridMultilevel"/>
    <w:tmpl w:val="D7D214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3C71612"/>
    <w:multiLevelType w:val="multilevel"/>
    <w:tmpl w:val="DC36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F00F0"/>
    <w:multiLevelType w:val="hybridMultilevel"/>
    <w:tmpl w:val="265CEB1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B88128A"/>
    <w:multiLevelType w:val="hybridMultilevel"/>
    <w:tmpl w:val="C53E5F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E626668"/>
    <w:multiLevelType w:val="hybridMultilevel"/>
    <w:tmpl w:val="50C4E19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011160F"/>
    <w:multiLevelType w:val="multilevel"/>
    <w:tmpl w:val="CE5E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0F634E"/>
    <w:multiLevelType w:val="hybridMultilevel"/>
    <w:tmpl w:val="DF569A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78435D1"/>
    <w:multiLevelType w:val="hybridMultilevel"/>
    <w:tmpl w:val="CD2A534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07C387F"/>
    <w:multiLevelType w:val="hybridMultilevel"/>
    <w:tmpl w:val="449C66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97A1C81"/>
    <w:multiLevelType w:val="hybridMultilevel"/>
    <w:tmpl w:val="5D7E17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9383219">
    <w:abstractNumId w:val="4"/>
  </w:num>
  <w:num w:numId="2" w16cid:durableId="621115520">
    <w:abstractNumId w:val="2"/>
  </w:num>
  <w:num w:numId="3" w16cid:durableId="568467280">
    <w:abstractNumId w:val="7"/>
  </w:num>
  <w:num w:numId="4" w16cid:durableId="649022824">
    <w:abstractNumId w:val="8"/>
  </w:num>
  <w:num w:numId="5" w16cid:durableId="1408455717">
    <w:abstractNumId w:val="6"/>
  </w:num>
  <w:num w:numId="6" w16cid:durableId="8146748">
    <w:abstractNumId w:val="9"/>
  </w:num>
  <w:num w:numId="7" w16cid:durableId="769816146">
    <w:abstractNumId w:val="3"/>
  </w:num>
  <w:num w:numId="8" w16cid:durableId="1359117168">
    <w:abstractNumId w:val="1"/>
  </w:num>
  <w:num w:numId="9" w16cid:durableId="1234588640">
    <w:abstractNumId w:val="5"/>
  </w:num>
  <w:num w:numId="10" w16cid:durableId="411046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2113"/>
    <w:rsid w:val="000064D7"/>
    <w:rsid w:val="0001373F"/>
    <w:rsid w:val="00024565"/>
    <w:rsid w:val="000503BE"/>
    <w:rsid w:val="00061150"/>
    <w:rsid w:val="00064866"/>
    <w:rsid w:val="00080AD5"/>
    <w:rsid w:val="00084BCE"/>
    <w:rsid w:val="00085B86"/>
    <w:rsid w:val="0008768E"/>
    <w:rsid w:val="00092836"/>
    <w:rsid w:val="00094FD0"/>
    <w:rsid w:val="0009570F"/>
    <w:rsid w:val="00095AB8"/>
    <w:rsid w:val="000F0BCD"/>
    <w:rsid w:val="001126F5"/>
    <w:rsid w:val="0011500F"/>
    <w:rsid w:val="00146659"/>
    <w:rsid w:val="00153EAA"/>
    <w:rsid w:val="00156472"/>
    <w:rsid w:val="0015729F"/>
    <w:rsid w:val="001A3DE2"/>
    <w:rsid w:val="001C6207"/>
    <w:rsid w:val="001D174E"/>
    <w:rsid w:val="001D47CF"/>
    <w:rsid w:val="001E577E"/>
    <w:rsid w:val="001F0D57"/>
    <w:rsid w:val="001F4644"/>
    <w:rsid w:val="001F5247"/>
    <w:rsid w:val="00206769"/>
    <w:rsid w:val="002072B7"/>
    <w:rsid w:val="002267C2"/>
    <w:rsid w:val="00231AB5"/>
    <w:rsid w:val="00241256"/>
    <w:rsid w:val="002567E7"/>
    <w:rsid w:val="002577E1"/>
    <w:rsid w:val="002841C2"/>
    <w:rsid w:val="00296214"/>
    <w:rsid w:val="00297637"/>
    <w:rsid w:val="002A3135"/>
    <w:rsid w:val="002A5A4B"/>
    <w:rsid w:val="002C1091"/>
    <w:rsid w:val="002F0197"/>
    <w:rsid w:val="00300599"/>
    <w:rsid w:val="00305E7E"/>
    <w:rsid w:val="0034079B"/>
    <w:rsid w:val="00340CFD"/>
    <w:rsid w:val="00363493"/>
    <w:rsid w:val="00371684"/>
    <w:rsid w:val="0037428D"/>
    <w:rsid w:val="0037741D"/>
    <w:rsid w:val="00380F63"/>
    <w:rsid w:val="003A2D0B"/>
    <w:rsid w:val="003A74DF"/>
    <w:rsid w:val="003B296F"/>
    <w:rsid w:val="003C2724"/>
    <w:rsid w:val="003D1397"/>
    <w:rsid w:val="003D1DE4"/>
    <w:rsid w:val="003D4DE1"/>
    <w:rsid w:val="003D5CD5"/>
    <w:rsid w:val="003F4752"/>
    <w:rsid w:val="00414DC0"/>
    <w:rsid w:val="004177D4"/>
    <w:rsid w:val="004226D6"/>
    <w:rsid w:val="00434AEB"/>
    <w:rsid w:val="0044594D"/>
    <w:rsid w:val="0044649A"/>
    <w:rsid w:val="00451539"/>
    <w:rsid w:val="00462113"/>
    <w:rsid w:val="00463205"/>
    <w:rsid w:val="00484E47"/>
    <w:rsid w:val="00490CDE"/>
    <w:rsid w:val="00496BFD"/>
    <w:rsid w:val="004A1BBD"/>
    <w:rsid w:val="004A2535"/>
    <w:rsid w:val="004A4FC8"/>
    <w:rsid w:val="004B21D6"/>
    <w:rsid w:val="004B300B"/>
    <w:rsid w:val="004C6C42"/>
    <w:rsid w:val="004C76C5"/>
    <w:rsid w:val="004D5A23"/>
    <w:rsid w:val="004D7C24"/>
    <w:rsid w:val="004E0A71"/>
    <w:rsid w:val="004F4416"/>
    <w:rsid w:val="00505224"/>
    <w:rsid w:val="00510B7F"/>
    <w:rsid w:val="00520E50"/>
    <w:rsid w:val="00527A70"/>
    <w:rsid w:val="005446D4"/>
    <w:rsid w:val="005457CB"/>
    <w:rsid w:val="00555452"/>
    <w:rsid w:val="005558C9"/>
    <w:rsid w:val="00567CBF"/>
    <w:rsid w:val="00580A1F"/>
    <w:rsid w:val="00584C7D"/>
    <w:rsid w:val="005B05C8"/>
    <w:rsid w:val="005C50F5"/>
    <w:rsid w:val="005D2CD5"/>
    <w:rsid w:val="005E1414"/>
    <w:rsid w:val="005E560B"/>
    <w:rsid w:val="005F442E"/>
    <w:rsid w:val="00600EE6"/>
    <w:rsid w:val="0062313B"/>
    <w:rsid w:val="00623CF1"/>
    <w:rsid w:val="00630EFB"/>
    <w:rsid w:val="00637B02"/>
    <w:rsid w:val="0064765E"/>
    <w:rsid w:val="006507D0"/>
    <w:rsid w:val="00650D07"/>
    <w:rsid w:val="006842B1"/>
    <w:rsid w:val="00690825"/>
    <w:rsid w:val="00690C47"/>
    <w:rsid w:val="00697692"/>
    <w:rsid w:val="006A00A5"/>
    <w:rsid w:val="006A7ACD"/>
    <w:rsid w:val="006B2782"/>
    <w:rsid w:val="006D2AF5"/>
    <w:rsid w:val="006E2254"/>
    <w:rsid w:val="006F3BB7"/>
    <w:rsid w:val="00721F5B"/>
    <w:rsid w:val="00753903"/>
    <w:rsid w:val="00796C89"/>
    <w:rsid w:val="007C4D05"/>
    <w:rsid w:val="007D4909"/>
    <w:rsid w:val="007F208D"/>
    <w:rsid w:val="007F5B9B"/>
    <w:rsid w:val="007F7991"/>
    <w:rsid w:val="008364E0"/>
    <w:rsid w:val="0084303C"/>
    <w:rsid w:val="00851AFB"/>
    <w:rsid w:val="00870E20"/>
    <w:rsid w:val="008737FB"/>
    <w:rsid w:val="00873DFA"/>
    <w:rsid w:val="00875769"/>
    <w:rsid w:val="00890A88"/>
    <w:rsid w:val="008914C0"/>
    <w:rsid w:val="00892101"/>
    <w:rsid w:val="008A1583"/>
    <w:rsid w:val="008C3A6E"/>
    <w:rsid w:val="008D1C5C"/>
    <w:rsid w:val="008D6ADA"/>
    <w:rsid w:val="008E2A7A"/>
    <w:rsid w:val="008E5217"/>
    <w:rsid w:val="008E700D"/>
    <w:rsid w:val="008F17B8"/>
    <w:rsid w:val="008F65E3"/>
    <w:rsid w:val="00917787"/>
    <w:rsid w:val="00925F3C"/>
    <w:rsid w:val="00945354"/>
    <w:rsid w:val="009517E5"/>
    <w:rsid w:val="00956BDD"/>
    <w:rsid w:val="00960A40"/>
    <w:rsid w:val="009634FA"/>
    <w:rsid w:val="00963780"/>
    <w:rsid w:val="00974224"/>
    <w:rsid w:val="0097689F"/>
    <w:rsid w:val="009929C5"/>
    <w:rsid w:val="0099672B"/>
    <w:rsid w:val="009A0265"/>
    <w:rsid w:val="009A5ACE"/>
    <w:rsid w:val="009B08A6"/>
    <w:rsid w:val="009B5F1C"/>
    <w:rsid w:val="009D26D5"/>
    <w:rsid w:val="009D2CC2"/>
    <w:rsid w:val="009D796B"/>
    <w:rsid w:val="009E5FE0"/>
    <w:rsid w:val="009E772D"/>
    <w:rsid w:val="00A06FE0"/>
    <w:rsid w:val="00A249A1"/>
    <w:rsid w:val="00A25C45"/>
    <w:rsid w:val="00A36091"/>
    <w:rsid w:val="00A53F6F"/>
    <w:rsid w:val="00A64BC3"/>
    <w:rsid w:val="00A663C9"/>
    <w:rsid w:val="00A84D08"/>
    <w:rsid w:val="00AC636E"/>
    <w:rsid w:val="00AC6C91"/>
    <w:rsid w:val="00AD6A45"/>
    <w:rsid w:val="00AE1171"/>
    <w:rsid w:val="00AE234D"/>
    <w:rsid w:val="00AF392A"/>
    <w:rsid w:val="00AF5C75"/>
    <w:rsid w:val="00B2655F"/>
    <w:rsid w:val="00B32869"/>
    <w:rsid w:val="00B34D92"/>
    <w:rsid w:val="00B5706C"/>
    <w:rsid w:val="00B843C6"/>
    <w:rsid w:val="00BA3C79"/>
    <w:rsid w:val="00BA536F"/>
    <w:rsid w:val="00BB457F"/>
    <w:rsid w:val="00BF0123"/>
    <w:rsid w:val="00BF0466"/>
    <w:rsid w:val="00BF1132"/>
    <w:rsid w:val="00C13E29"/>
    <w:rsid w:val="00C26365"/>
    <w:rsid w:val="00C4607C"/>
    <w:rsid w:val="00C528D8"/>
    <w:rsid w:val="00C52D65"/>
    <w:rsid w:val="00C55F68"/>
    <w:rsid w:val="00C61920"/>
    <w:rsid w:val="00C706CA"/>
    <w:rsid w:val="00C70D46"/>
    <w:rsid w:val="00C70F14"/>
    <w:rsid w:val="00C71CE5"/>
    <w:rsid w:val="00C747AD"/>
    <w:rsid w:val="00C811B3"/>
    <w:rsid w:val="00CA3060"/>
    <w:rsid w:val="00CA4976"/>
    <w:rsid w:val="00CA5241"/>
    <w:rsid w:val="00CB1C86"/>
    <w:rsid w:val="00CB7604"/>
    <w:rsid w:val="00CE5A0D"/>
    <w:rsid w:val="00CE6148"/>
    <w:rsid w:val="00CF5F7B"/>
    <w:rsid w:val="00CF7EBE"/>
    <w:rsid w:val="00D00AB3"/>
    <w:rsid w:val="00D0517F"/>
    <w:rsid w:val="00D07820"/>
    <w:rsid w:val="00D07C50"/>
    <w:rsid w:val="00D14410"/>
    <w:rsid w:val="00D3197C"/>
    <w:rsid w:val="00D347AC"/>
    <w:rsid w:val="00D53122"/>
    <w:rsid w:val="00D71F89"/>
    <w:rsid w:val="00D75AED"/>
    <w:rsid w:val="00D82132"/>
    <w:rsid w:val="00D84BD2"/>
    <w:rsid w:val="00D93785"/>
    <w:rsid w:val="00D94DB4"/>
    <w:rsid w:val="00DA14C5"/>
    <w:rsid w:val="00DF447A"/>
    <w:rsid w:val="00DF6123"/>
    <w:rsid w:val="00E04B89"/>
    <w:rsid w:val="00E06190"/>
    <w:rsid w:val="00E14CFC"/>
    <w:rsid w:val="00E24EC1"/>
    <w:rsid w:val="00E405EB"/>
    <w:rsid w:val="00E516AA"/>
    <w:rsid w:val="00E553B3"/>
    <w:rsid w:val="00E705F2"/>
    <w:rsid w:val="00E72EB4"/>
    <w:rsid w:val="00E73EB6"/>
    <w:rsid w:val="00E74FCF"/>
    <w:rsid w:val="00EA3F89"/>
    <w:rsid w:val="00EB24F9"/>
    <w:rsid w:val="00ED10AD"/>
    <w:rsid w:val="00ED1F12"/>
    <w:rsid w:val="00ED7E1C"/>
    <w:rsid w:val="00EE4491"/>
    <w:rsid w:val="00EE68EC"/>
    <w:rsid w:val="00F115D9"/>
    <w:rsid w:val="00F16B09"/>
    <w:rsid w:val="00F21A36"/>
    <w:rsid w:val="00F3155B"/>
    <w:rsid w:val="00F36885"/>
    <w:rsid w:val="00F4183B"/>
    <w:rsid w:val="00F42FDF"/>
    <w:rsid w:val="00F453F7"/>
    <w:rsid w:val="00F50B26"/>
    <w:rsid w:val="00F90663"/>
    <w:rsid w:val="00F9074A"/>
    <w:rsid w:val="00F91103"/>
    <w:rsid w:val="00F938D6"/>
    <w:rsid w:val="00F970F1"/>
    <w:rsid w:val="00FA105A"/>
    <w:rsid w:val="00FC47F5"/>
    <w:rsid w:val="00FC5798"/>
    <w:rsid w:val="00FD77A1"/>
    <w:rsid w:val="00FE0FAC"/>
    <w:rsid w:val="00FE1C03"/>
    <w:rsid w:val="00FF59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7FEE9"/>
  <w15:docId w15:val="{20AC4117-5585-4E3A-A61A-A92A90E05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D7C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8364E0"/>
    <w:pPr>
      <w:keepNext/>
      <w:keepLines/>
      <w:spacing w:before="40" w:after="0" w:line="259" w:lineRule="auto"/>
      <w:outlineLvl w:val="1"/>
    </w:pPr>
    <w:rPr>
      <w:rFonts w:asciiTheme="majorHAnsi" w:eastAsiaTheme="majorEastAsia" w:hAnsiTheme="majorHAnsi" w:cstheme="majorBidi"/>
      <w:color w:val="365F91" w:themeColor="accent1" w:themeShade="BF"/>
      <w:kern w:val="2"/>
      <w:sz w:val="26"/>
      <w:szCs w:val="26"/>
      <w14:ligatures w14:val="standardContextual"/>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46211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62113"/>
  </w:style>
  <w:style w:type="paragraph" w:styleId="Sidefod">
    <w:name w:val="footer"/>
    <w:basedOn w:val="Normal"/>
    <w:link w:val="SidefodTegn"/>
    <w:uiPriority w:val="99"/>
    <w:unhideWhenUsed/>
    <w:rsid w:val="0046211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62113"/>
  </w:style>
  <w:style w:type="table" w:styleId="Tabel-Gitter">
    <w:name w:val="Table Grid"/>
    <w:basedOn w:val="Tabel-Normal"/>
    <w:uiPriority w:val="59"/>
    <w:rsid w:val="00462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462113"/>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62113"/>
    <w:rPr>
      <w:rFonts w:ascii="Tahoma" w:hAnsi="Tahoma" w:cs="Tahoma"/>
      <w:sz w:val="16"/>
      <w:szCs w:val="16"/>
    </w:rPr>
  </w:style>
  <w:style w:type="paragraph" w:styleId="Ingenafstand">
    <w:name w:val="No Spacing"/>
    <w:uiPriority w:val="1"/>
    <w:qFormat/>
    <w:rsid w:val="004C6C42"/>
    <w:pPr>
      <w:spacing w:after="0" w:line="240" w:lineRule="auto"/>
    </w:pPr>
    <w:rPr>
      <w:kern w:val="2"/>
      <w:sz w:val="24"/>
      <w:szCs w:val="24"/>
      <w14:ligatures w14:val="standardContextual"/>
    </w:rPr>
  </w:style>
  <w:style w:type="character" w:styleId="Hyperlink">
    <w:name w:val="Hyperlink"/>
    <w:basedOn w:val="Standardskrifttypeiafsnit"/>
    <w:uiPriority w:val="99"/>
    <w:unhideWhenUsed/>
    <w:rsid w:val="007F5B9B"/>
    <w:rPr>
      <w:color w:val="0000FF" w:themeColor="hyperlink"/>
      <w:u w:val="single"/>
    </w:rPr>
  </w:style>
  <w:style w:type="character" w:styleId="Ulstomtale">
    <w:name w:val="Unresolved Mention"/>
    <w:basedOn w:val="Standardskrifttypeiafsnit"/>
    <w:uiPriority w:val="99"/>
    <w:semiHidden/>
    <w:unhideWhenUsed/>
    <w:rsid w:val="007F5B9B"/>
    <w:rPr>
      <w:color w:val="605E5C"/>
      <w:shd w:val="clear" w:color="auto" w:fill="E1DFDD"/>
    </w:rPr>
  </w:style>
  <w:style w:type="character" w:customStyle="1" w:styleId="Overskrift2Tegn">
    <w:name w:val="Overskrift 2 Tegn"/>
    <w:basedOn w:val="Standardskrifttypeiafsnit"/>
    <w:link w:val="Overskrift2"/>
    <w:uiPriority w:val="9"/>
    <w:rsid w:val="008364E0"/>
    <w:rPr>
      <w:rFonts w:asciiTheme="majorHAnsi" w:eastAsiaTheme="majorEastAsia" w:hAnsiTheme="majorHAnsi" w:cstheme="majorBidi"/>
      <w:color w:val="365F91" w:themeColor="accent1" w:themeShade="BF"/>
      <w:kern w:val="2"/>
      <w:sz w:val="26"/>
      <w:szCs w:val="26"/>
      <w14:ligatures w14:val="standardContextual"/>
    </w:rPr>
  </w:style>
  <w:style w:type="character" w:customStyle="1" w:styleId="Overskrift1Tegn">
    <w:name w:val="Overskrift 1 Tegn"/>
    <w:basedOn w:val="Standardskrifttypeiafsnit"/>
    <w:link w:val="Overskrift1"/>
    <w:uiPriority w:val="9"/>
    <w:rsid w:val="004D7C24"/>
    <w:rPr>
      <w:rFonts w:asciiTheme="majorHAnsi" w:eastAsiaTheme="majorEastAsia" w:hAnsiTheme="majorHAnsi" w:cstheme="majorBidi"/>
      <w:color w:val="365F91" w:themeColor="accent1" w:themeShade="BF"/>
      <w:sz w:val="32"/>
      <w:szCs w:val="32"/>
    </w:rPr>
  </w:style>
  <w:style w:type="paragraph" w:styleId="Listeafsnit">
    <w:name w:val="List Paragraph"/>
    <w:basedOn w:val="Normal"/>
    <w:uiPriority w:val="34"/>
    <w:qFormat/>
    <w:rsid w:val="00E73EB6"/>
    <w:pPr>
      <w:ind w:left="72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d.europa.eu/da/notice/-/detail/740502-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F5553-F6AF-4A91-AE01-AEEC8DF8C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2</Pages>
  <Words>553</Words>
  <Characters>3376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Nukissiorfiit</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Allan Rasmussen</dc:creator>
  <cp:lastModifiedBy>Nils Baum</cp:lastModifiedBy>
  <cp:revision>220</cp:revision>
  <cp:lastPrinted>2014-01-21T16:02:00Z</cp:lastPrinted>
  <dcterms:created xsi:type="dcterms:W3CDTF">2015-04-28T10:13:00Z</dcterms:created>
  <dcterms:modified xsi:type="dcterms:W3CDTF">2026-10-26T11:17:00Z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m.modifier">
    <vt:lpwstr>nbaum</vt:lpwstr>
  </property>
  <property fmtid="{D5CDD505-2E9C-101B-9397-08002B2CF9AE}" pid="3" name="cm.name">
    <vt:lpwstr>20241021 Opdrag målerprojekt.docx</vt:lpwstr>
  </property>
  <property fmtid="{D5CDD505-2E9C-101B-9397-08002B2CF9AE}" pid="4" name="cm.description">
    <vt:lpwstr>Overordnet beskrivelse af målerprojektet (scope, projekt- og styregruppemedlemmer, faser)</vt:lpwstr>
  </property>
  <property fmtid="{D5CDD505-2E9C-101B-9397-08002B2CF9AE}" pid="5" name="cm.modified">
    <vt:lpwstr>2024-10-28</vt:lpwstr>
  </property>
  <property fmtid="{D5CDD505-2E9C-101B-9397-08002B2CF9AE}" pid="6" name="cm.versionLabel">
    <vt:lpwstr>1.5</vt:lpwstr>
  </property>
  <property fmtid="{D5CDD505-2E9C-101B-9397-08002B2CF9AE}" pid="7" name="cm.creator">
    <vt:lpwstr>nbaum</vt:lpwstr>
  </property>
  <property fmtid="{D5CDD505-2E9C-101B-9397-08002B2CF9AE}" pid="8" name="cm.created">
    <vt:lpwstr>2024-10-28</vt:lpwstr>
  </property>
  <property fmtid="{D5CDD505-2E9C-101B-9397-08002B2CF9AE}" pid="9" name="cm.title">
    <vt:lpwstr/>
  </property>
</Properties>
</file>